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                  </w:t>
      </w:r>
      <w:r w:rsidRPr="00E3633A">
        <w:rPr>
          <w:rFonts w:ascii="Times New Roman" w:hAnsi="Times New Roman"/>
          <w:b/>
          <w:sz w:val="24"/>
          <w:szCs w:val="24"/>
          <w:u w:val="single"/>
        </w:rPr>
        <w:t>Затраты на услуги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по передаче электрической энергии на 2017 год.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 соответствии с требованиями действующего законодательства в </w:t>
      </w:r>
      <w:r>
        <w:rPr>
          <w:rFonts w:ascii="Times New Roman" w:hAnsi="Times New Roman"/>
          <w:sz w:val="24"/>
          <w:szCs w:val="24"/>
          <w:u w:val="single"/>
        </w:rPr>
        <w:t>ООО «Профит»</w:t>
      </w:r>
      <w:r>
        <w:rPr>
          <w:rFonts w:ascii="Times New Roman" w:hAnsi="Times New Roman"/>
          <w:sz w:val="24"/>
          <w:szCs w:val="24"/>
        </w:rPr>
        <w:t xml:space="preserve"> осуществляется раздельный учет расходов по регулируемому виду деятельности – услуги по передаче электрической энергии.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В соответствии с Учетной политикой на 2015 год (приказ от «19 марта 2013г.» №2) для ведения аналитического учета прямых затрат, относящихся к различным видам деятельности, предусматривается ведение их  раздельного учета. Согласн</w:t>
      </w:r>
      <w:r w:rsidRPr="00622840">
        <w:rPr>
          <w:rFonts w:ascii="Times New Roman" w:hAnsi="Times New Roman"/>
          <w:sz w:val="24"/>
          <w:szCs w:val="24"/>
        </w:rPr>
        <w:t>о Учетной политике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622840"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622840">
        <w:rPr>
          <w:rFonts w:ascii="Times New Roman" w:hAnsi="Times New Roman"/>
          <w:sz w:val="24"/>
          <w:szCs w:val="24"/>
        </w:rPr>
        <w:t>утвержденной на 2015 год косвенные (общехозяйственные)</w:t>
      </w:r>
      <w:r>
        <w:rPr>
          <w:rFonts w:ascii="Times New Roman" w:hAnsi="Times New Roman"/>
          <w:sz w:val="24"/>
          <w:szCs w:val="24"/>
        </w:rPr>
        <w:t xml:space="preserve"> расходы распределяются на регулируемый и нерегулируемые виды деятельности пропорционально суммам прямых расходов.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Таким образом, удельный вес распределения косвенных расходов на услуги по передаче электрической энергии на 2017 год принят </w:t>
      </w:r>
      <w:r>
        <w:rPr>
          <w:rFonts w:ascii="Times New Roman" w:hAnsi="Times New Roman"/>
          <w:sz w:val="24"/>
          <w:szCs w:val="24"/>
          <w:u w:val="single"/>
        </w:rPr>
        <w:t xml:space="preserve">ООО «Профит» </w:t>
      </w:r>
      <w:r>
        <w:rPr>
          <w:rFonts w:ascii="Times New Roman" w:hAnsi="Times New Roman"/>
          <w:sz w:val="24"/>
          <w:szCs w:val="24"/>
        </w:rPr>
        <w:t xml:space="preserve"> на уровне  6,93 %.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Материальные затраты составили 14486,68 тыс. руб.</w:t>
      </w:r>
    </w:p>
    <w:p w:rsidR="004F6118" w:rsidRPr="006C1782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Рост затрат к 2015</w:t>
      </w:r>
      <w:r w:rsidRPr="006C1782">
        <w:rPr>
          <w:rFonts w:ascii="Times New Roman" w:hAnsi="Times New Roman"/>
          <w:sz w:val="24"/>
          <w:szCs w:val="24"/>
        </w:rPr>
        <w:t xml:space="preserve"> году составил </w:t>
      </w:r>
      <w:r>
        <w:rPr>
          <w:rFonts w:ascii="Times New Roman" w:hAnsi="Times New Roman"/>
          <w:sz w:val="24"/>
          <w:szCs w:val="24"/>
        </w:rPr>
        <w:t xml:space="preserve">117,1 </w:t>
      </w:r>
      <w:r w:rsidRPr="006C1782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>, к 2016 г.-106,3</w:t>
      </w:r>
      <w:r w:rsidRPr="006C1782">
        <w:rPr>
          <w:rFonts w:ascii="Times New Roman" w:hAnsi="Times New Roman"/>
          <w:sz w:val="24"/>
          <w:szCs w:val="24"/>
        </w:rPr>
        <w:t>%.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Работы и услуги производственного характера составляют 252,37 тыс. руб.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ФОТ и Страховые взносы –6915,24 тыс. руб.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выполнения планируемого объема работ по регулируемому виду деятельности необходимый расчетный фонд оплаты труда на 2017 год составит 5294,98 тыс. руб., что на 14,4 % больше фактических показателей за 2015 год, а также на 7 % утвержденных расходов на 2016 год. ФОТ рассчитан исходя из среднемесячной заработной платы 25976 руб. и численности персонала, занятого в деятельности по передаче электрической энергии,  18 чел. 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Основными причинами увеличения ФОТ являются: низкий уровень средней заработной платы и большая текучесть кадров.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Страховые взносы рассчитаны исходя из рассчитанной величины фонда оплаты труда, базы для начисления страховых взносов в отношении каждого работника и ставок тарифов в соответствии с порядком начисления страховых взносов (ставки: страховые взносы – 30% и отчисления на обязательное социальное страхование от несчастных случаев – 0,</w:t>
      </w:r>
      <w:r w:rsidRPr="006C17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6%;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Страховые взносы составят на 2017 год –1620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Ремонт основных фондов –4561,7 тыс. руб.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запланированы с ростом на 25,8 % или на 931,63 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уб. по сравнению с фактическим показателем 2015 года.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Работы и услуги не производственного хозяйства – 1358,69  тыс. руб.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Рост данных расходов в 2017 году запланирован на 25,8 % или 279 тыс. руб.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Амортизация основных средств – 917,21 тыс. руб.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F244F">
        <w:rPr>
          <w:rFonts w:ascii="Times New Roman" w:hAnsi="Times New Roman"/>
          <w:sz w:val="24"/>
          <w:szCs w:val="24"/>
        </w:rPr>
        <w:t xml:space="preserve">В соответствии с учетной политикой организации </w:t>
      </w:r>
      <w:r>
        <w:rPr>
          <w:rFonts w:ascii="Times New Roman" w:hAnsi="Times New Roman"/>
          <w:sz w:val="24"/>
          <w:szCs w:val="24"/>
        </w:rPr>
        <w:t xml:space="preserve">амортизация начисляется линейным способом. Рост по сравнению с ожидаемым показателем 2017 года не предусмотрен. </w:t>
      </w:r>
      <w:r>
        <w:rPr>
          <w:rFonts w:ascii="Times New Roman" w:hAnsi="Times New Roman"/>
          <w:b/>
          <w:sz w:val="24"/>
          <w:szCs w:val="24"/>
        </w:rPr>
        <w:t>Аренда в 2017 году составит 393 тыс. руб.</w:t>
      </w:r>
    </w:p>
    <w:p w:rsidR="004F6118" w:rsidRDefault="004F6118" w:rsidP="004F6118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Рост данных расходов составит 4,4%  или 16 тыс. руб. к фактическим расходам за 2015 год. </w:t>
      </w:r>
    </w:p>
    <w:p w:rsidR="00CD06B2" w:rsidRDefault="00CD06B2"/>
    <w:sectPr w:rsidR="00CD06B2" w:rsidSect="00CD0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6118"/>
    <w:rsid w:val="004F6118"/>
    <w:rsid w:val="00CD0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1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Lisina</dc:creator>
  <cp:lastModifiedBy>Lisina</cp:lastModifiedBy>
  <cp:revision>1</cp:revision>
  <dcterms:created xsi:type="dcterms:W3CDTF">2016-04-27T15:07:00Z</dcterms:created>
  <dcterms:modified xsi:type="dcterms:W3CDTF">2016-04-27T15:08:00Z</dcterms:modified>
</cp:coreProperties>
</file>